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AE" w:rsidRPr="00834DAE" w:rsidRDefault="00834DAE" w:rsidP="00834DAE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bookmarkStart w:id="0" w:name="_GoBack"/>
      <w:r w:rsidRPr="00834DAE">
        <w:rPr>
          <w:rFonts w:ascii="黑体" w:eastAsia="黑体" w:hAnsi="黑体" w:cs="Times New Roman" w:hint="eastAsia"/>
          <w:sz w:val="28"/>
          <w:szCs w:val="28"/>
        </w:rPr>
        <w:t>云南中医药大学2019年国家自然科学基金立项清单</w:t>
      </w:r>
    </w:p>
    <w:tbl>
      <w:tblPr>
        <w:tblW w:w="8861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950"/>
        <w:gridCol w:w="1023"/>
        <w:gridCol w:w="1297"/>
        <w:gridCol w:w="3119"/>
        <w:gridCol w:w="945"/>
        <w:gridCol w:w="979"/>
      </w:tblGrid>
      <w:tr w:rsidR="00834DAE" w:rsidRPr="00834DAE" w:rsidTr="006D0CD1">
        <w:trPr>
          <w:trHeight w:val="67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序</w:t>
            </w: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项目</w:t>
            </w:r>
          </w:p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34DAE">
              <w:rPr>
                <w:rFonts w:ascii="宋体" w:eastAsia="宋体" w:hAnsi="宋体" w:cs="Arial"/>
                <w:b/>
                <w:bCs/>
                <w:color w:val="333333"/>
                <w:kern w:val="0"/>
                <w:sz w:val="24"/>
                <w:szCs w:val="24"/>
              </w:rPr>
              <w:t>直接费用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31960001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张晓梅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云南及东南亚野生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蛹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虫草内生及周边土壤微生物群落特征和功能研究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42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31960103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郑兰平</w:t>
            </w:r>
            <w:proofErr w:type="gramEnd"/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云贵高原盘鮈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属两种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同域物种谱系地理学研究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41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31960178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秦冬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敲除猕猴特定脑区的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MECP2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基因构建新的自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闭症猴模型</w:t>
            </w:r>
            <w:proofErr w:type="gram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31960224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张凤萍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民族医药学院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兰科植物花的水分利用特征及其对干旱胁迫的响应研究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31960482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张希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月桂酸衍生物调控肠道菌群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宿主脂代谢平衡机制研究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81960219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闵晓黎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CircRNA0000964/miR-758/ILK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通路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介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导线粒体凋亡在脑缺血再灌注损伤中的作用机制研究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33.7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81960631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邵立东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靶向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HSP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"/>
              </w:smartTagPr>
              <w:r w:rsidRPr="00834DAE">
                <w:rPr>
                  <w:rFonts w:ascii="Arial" w:eastAsia="宋体" w:hAnsi="Arial" w:cs="Arial"/>
                  <w:color w:val="333333"/>
                  <w:kern w:val="0"/>
                  <w:szCs w:val="21"/>
                </w:rPr>
                <w:t>90C</w:t>
              </w:r>
            </w:smartTag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末端抗肿瘤天然先导化合物嵌合体的设计合成及活性评价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81960693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张爱丽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金铁锁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皂皮酸及其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衍生皂苷的生物合成途径研究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81960710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俞捷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基于谱效先导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—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整合药理学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的滇黄精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质量标志物研究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81960731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张彭跃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针灸推拿康复学院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灯盏花素调控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JAK2-STAT-BCL2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通路抑制脑中风早期神经元过度自噬的作用机制研究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81960733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段小花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民族医药学院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天麻活性成分抗脑缺血再灌注损伤的线粒体机制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81960738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苏佳</w:t>
            </w:r>
            <w:proofErr w:type="gramEnd"/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半枝莲中肿瘤免疫调节物质的发现及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“Hsp90-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外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泌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体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肿瘤免疫调控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机制的确证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81960740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李静平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具有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益气养阴、去腐生肌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功效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的滇黄精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修复糖尿病难愈创面的机理研究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万春平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第一附属医院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CD45 PTPs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对脓毒症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T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细胞亚群分化调控机制及黄芪皂苷干预作用的研究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81960750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毛晓健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砂仁挥发油通过干预线粒体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DNA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新合成及氧化抑制溃疡性结肠炎小鼠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NLRP3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炎症小体活化的机制研究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16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81960777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李艳平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两种民族药用植物中黄酮类</w:t>
            </w:r>
            <w:proofErr w:type="spell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ILCreg</w:t>
            </w:r>
            <w:proofErr w:type="spell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诱导剂的发现及其抗炎性肠病机制探究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杨竹雅</w:t>
            </w:r>
            <w:proofErr w:type="gramEnd"/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傣药铜钱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麻黄干预哮喘药效物质基础及其通过调节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iILC2s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在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肠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肺轴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迁移的作用机制研究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81960780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李维熙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傣药麻夯荒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抑制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8-oxo-GTP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促进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Cdc42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活化防治妊娠高血糖致胚胎眼畸形作用及其机制研究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81960784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瞿璐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傣药莫哈蒿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干预特应性皮炎药效物质基础及调控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ILC2-MC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轴的作用机制的研究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61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81960814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张珊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基于调控中性粒细胞活化和凋亡研究丹参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酮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IIA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对急性痛风性关节炎的作用机制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042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李奇峰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四逆汤激活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PGC-1α—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线粒体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生成轴对脓毒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症引起的线粒体损伤和多器官功能障碍综合征的影响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</w:tr>
      <w:tr w:rsidR="00834DAE" w:rsidRPr="00834DAE" w:rsidTr="006D0CD1">
        <w:trPr>
          <w:trHeight w:val="1042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81960816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王维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从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NIK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与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PPARα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互作调控肝脏脂质代谢稳态角度研究去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脂软肝方防治非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酒精性脂肪肝分子机制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33</w:t>
            </w:r>
          </w:p>
        </w:tc>
      </w:tr>
      <w:tr w:rsidR="00834DAE" w:rsidRPr="00834DAE" w:rsidTr="006D0CD1">
        <w:trPr>
          <w:trHeight w:val="1058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81960835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吴施国</w:t>
            </w:r>
            <w:proofErr w:type="gramEnd"/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温升三阴、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肃金秘阳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法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对肝癌疼痛相关微环境及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TNF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相关通道的作用机制研究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</w:p>
        </w:tc>
      </w:tr>
      <w:tr w:rsidR="00834DAE" w:rsidRPr="00834DAE" w:rsidTr="006D0CD1">
        <w:trPr>
          <w:trHeight w:val="1042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81960863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彭江云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基于表观遗传学的类风湿关节炎寒热证本质及温阳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通络方寒证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干预机制研究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</w:tr>
      <w:tr w:rsidR="00834DAE" w:rsidRPr="00834DAE" w:rsidTr="006D0CD1">
        <w:trPr>
          <w:trHeight w:val="1058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81960868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祁燕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第一附属医院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溃结康调控</w:t>
            </w:r>
            <w:proofErr w:type="spellStart"/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LncRNA</w:t>
            </w:r>
            <w:proofErr w:type="spell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H19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介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导线粒体自噬治疗溃疡性结肠炎的机制研究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</w:tr>
      <w:tr w:rsidR="00834DAE" w:rsidRPr="00834DAE" w:rsidTr="006D0CD1">
        <w:trPr>
          <w:trHeight w:val="1394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81960870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李兆福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基础医学院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基于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LncRNA-UFC1/miR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4"/>
                <w:attr w:name="UnitName" w:val="a"/>
              </w:smartTagPr>
              <w:r w:rsidRPr="00834DAE">
                <w:rPr>
                  <w:rFonts w:ascii="Arial" w:eastAsia="宋体" w:hAnsi="Arial" w:cs="Arial"/>
                  <w:color w:val="333333"/>
                  <w:kern w:val="0"/>
                  <w:szCs w:val="21"/>
                </w:rPr>
                <w:t>-34a</w:t>
              </w:r>
            </w:smartTag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/MMP-13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轴探讨益气养血方干预骨关节炎软骨退变的机制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</w:p>
        </w:tc>
      </w:tr>
      <w:tr w:rsidR="00834DAE" w:rsidRPr="00834DAE" w:rsidTr="006D0CD1">
        <w:trPr>
          <w:trHeight w:val="1042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81960890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吴敏曼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基于机体免疫防御机制失衡及中医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扶正祛邪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理论探讨通鼻消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涕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方治疗慢性鼻窦炎的作用机制研究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</w:tr>
      <w:tr w:rsidR="00834DAE" w:rsidRPr="00834DAE" w:rsidTr="006D0CD1">
        <w:trPr>
          <w:trHeight w:val="1058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81960897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左政</w:t>
            </w:r>
            <w:proofErr w:type="gramEnd"/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针灸推拿康复学院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基于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IL-23/Th17</w:t>
            </w: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免疫炎症轴探讨长蛇</w:t>
            </w:r>
            <w:proofErr w:type="gramStart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灸</w:t>
            </w:r>
            <w:proofErr w:type="gramEnd"/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干预强直性脊柱炎的机制研究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DAE" w:rsidRPr="00834DAE" w:rsidRDefault="00834DAE" w:rsidP="00834DA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地区科学基金项目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34DAE" w:rsidRPr="00834DAE" w:rsidRDefault="00834DAE" w:rsidP="00834DA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34DAE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</w:tr>
    </w:tbl>
    <w:p w:rsidR="006E3BB5" w:rsidRDefault="006E3BB5"/>
    <w:sectPr w:rsidR="006E3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E"/>
    <w:rsid w:val="006E3BB5"/>
    <w:rsid w:val="008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7ED8F-A8C2-4064-8E62-21715D7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吕小满</dc:creator>
  <cp:keywords/>
  <dc:description/>
  <cp:lastModifiedBy>吕小满</cp:lastModifiedBy>
  <cp:revision>1</cp:revision>
  <dcterms:created xsi:type="dcterms:W3CDTF">2019-08-17T03:16:00Z</dcterms:created>
  <dcterms:modified xsi:type="dcterms:W3CDTF">2019-08-17T03:16:00Z</dcterms:modified>
</cp:coreProperties>
</file>